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50A" w:rsidRDefault="00B03908" w:rsidP="003A650A">
      <w:r w:rsidRPr="00B03908">
        <w:rPr>
          <w:b/>
        </w:rPr>
        <w:t>M 1</w:t>
      </w:r>
      <w:r>
        <w:t xml:space="preserve"> </w:t>
      </w:r>
      <w:r w:rsidR="003A650A">
        <w:t>Kaffee – Weltproduktion (in t)</w:t>
      </w:r>
    </w:p>
    <w:tbl>
      <w:tblPr>
        <w:tblW w:w="5655" w:type="dxa"/>
        <w:tblInd w:w="55" w:type="dxa"/>
        <w:tblCellMar>
          <w:left w:w="70" w:type="dxa"/>
          <w:right w:w="70" w:type="dxa"/>
        </w:tblCellMar>
        <w:tblLook w:val="04A0" w:firstRow="1" w:lastRow="0" w:firstColumn="1" w:lastColumn="0" w:noHBand="0" w:noVBand="1"/>
      </w:tblPr>
      <w:tblGrid>
        <w:gridCol w:w="3374"/>
        <w:gridCol w:w="1330"/>
        <w:gridCol w:w="951"/>
      </w:tblGrid>
      <w:tr w:rsidR="003A650A" w:rsidRPr="00126C5A" w:rsidTr="0050433C">
        <w:trPr>
          <w:trHeight w:val="300"/>
        </w:trPr>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b/>
                <w:bCs/>
                <w:color w:val="000000"/>
                <w:sz w:val="20"/>
                <w:szCs w:val="20"/>
                <w:lang w:eastAsia="de-DE"/>
              </w:rPr>
            </w:pPr>
            <w:r w:rsidRPr="00126C5A">
              <w:rPr>
                <w:rFonts w:ascii="Calibri" w:eastAsia="Times New Roman" w:hAnsi="Calibri" w:cs="Times New Roman"/>
                <w:b/>
                <w:bCs/>
                <w:color w:val="000000"/>
                <w:sz w:val="20"/>
                <w:szCs w:val="20"/>
                <w:lang w:eastAsia="de-DE"/>
              </w:rPr>
              <w:t>countries</w:t>
            </w:r>
          </w:p>
        </w:tc>
        <w:tc>
          <w:tcPr>
            <w:tcW w:w="1340" w:type="dxa"/>
            <w:tcBorders>
              <w:top w:val="single" w:sz="4" w:space="0" w:color="000000"/>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b/>
                <w:bCs/>
                <w:color w:val="000000"/>
                <w:sz w:val="20"/>
                <w:szCs w:val="20"/>
                <w:lang w:eastAsia="de-DE"/>
              </w:rPr>
            </w:pPr>
            <w:r>
              <w:rPr>
                <w:rFonts w:ascii="Calibri" w:eastAsia="Times New Roman" w:hAnsi="Calibri" w:cs="Times New Roman"/>
                <w:b/>
                <w:bCs/>
                <w:color w:val="000000"/>
                <w:sz w:val="20"/>
                <w:szCs w:val="20"/>
                <w:lang w:eastAsia="de-DE"/>
              </w:rPr>
              <w:t>2011</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b/>
                <w:bCs/>
                <w:color w:val="000000"/>
                <w:sz w:val="20"/>
                <w:szCs w:val="20"/>
                <w:lang w:eastAsia="de-DE"/>
              </w:rPr>
            </w:pPr>
            <w:r w:rsidRPr="00126C5A">
              <w:rPr>
                <w:rFonts w:ascii="Calibri" w:eastAsia="Times New Roman" w:hAnsi="Calibri" w:cs="Times New Roman"/>
                <w:b/>
                <w:bCs/>
                <w:color w:val="000000"/>
                <w:sz w:val="20"/>
                <w:szCs w:val="20"/>
                <w:lang w:eastAsia="de-DE"/>
              </w:rPr>
              <w:t>2012</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proofErr w:type="spellStart"/>
            <w:r w:rsidRPr="00126C5A">
              <w:rPr>
                <w:rFonts w:ascii="Calibri" w:eastAsia="Times New Roman" w:hAnsi="Calibri" w:cs="Times New Roman"/>
                <w:color w:val="000000"/>
                <w:sz w:val="20"/>
                <w:szCs w:val="20"/>
                <w:lang w:eastAsia="de-DE"/>
              </w:rPr>
              <w:t>Brazi</w:t>
            </w:r>
            <w:r>
              <w:rPr>
                <w:rFonts w:ascii="Calibri" w:eastAsia="Times New Roman" w:hAnsi="Calibri" w:cs="Times New Roman"/>
                <w:color w:val="000000"/>
                <w:sz w:val="20"/>
                <w:szCs w:val="20"/>
                <w:lang w:eastAsia="de-DE"/>
              </w:rPr>
              <w:t>l</w:t>
            </w:r>
            <w:proofErr w:type="spellEnd"/>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Pr>
                <w:rFonts w:ascii="Calibri" w:eastAsia="Times New Roman" w:hAnsi="Calibri" w:cs="Times New Roman"/>
                <w:color w:val="000000"/>
                <w:sz w:val="20"/>
                <w:szCs w:val="20"/>
                <w:lang w:eastAsia="de-DE"/>
              </w:rPr>
              <w:t>2.700.440</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3</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037</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534</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Viet</w:t>
            </w:r>
            <w:r>
              <w:rPr>
                <w:rFonts w:ascii="Calibri" w:eastAsia="Times New Roman" w:hAnsi="Calibri" w:cs="Times New Roman"/>
                <w:color w:val="000000"/>
                <w:sz w:val="20"/>
                <w:szCs w:val="20"/>
                <w:lang w:eastAsia="de-DE"/>
              </w:rPr>
              <w:t>n</w:t>
            </w:r>
            <w:r w:rsidRPr="00126C5A">
              <w:rPr>
                <w:rFonts w:ascii="Calibri" w:eastAsia="Times New Roman" w:hAnsi="Calibri" w:cs="Times New Roman"/>
                <w:color w:val="000000"/>
                <w:sz w:val="20"/>
                <w:szCs w:val="20"/>
                <w:lang w:eastAsia="de-DE"/>
              </w:rPr>
              <w:t>am</w:t>
            </w:r>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1</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276</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506</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1</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292</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389</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proofErr w:type="spellStart"/>
            <w:r w:rsidRPr="00126C5A">
              <w:rPr>
                <w:rFonts w:ascii="Calibri" w:eastAsia="Times New Roman" w:hAnsi="Calibri" w:cs="Times New Roman"/>
                <w:color w:val="000000"/>
                <w:sz w:val="20"/>
                <w:szCs w:val="20"/>
                <w:lang w:eastAsia="de-DE"/>
              </w:rPr>
              <w:t>Indonesia</w:t>
            </w:r>
            <w:proofErr w:type="spellEnd"/>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638</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600</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657</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200</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proofErr w:type="spellStart"/>
            <w:r w:rsidRPr="00126C5A">
              <w:rPr>
                <w:rFonts w:ascii="Calibri" w:eastAsia="Times New Roman" w:hAnsi="Calibri" w:cs="Times New Roman"/>
                <w:color w:val="000000"/>
                <w:sz w:val="20"/>
                <w:szCs w:val="20"/>
                <w:lang w:eastAsia="de-DE"/>
              </w:rPr>
              <w:t>Colombia</w:t>
            </w:r>
            <w:proofErr w:type="spellEnd"/>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468</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540</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464</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640</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proofErr w:type="spellStart"/>
            <w:r w:rsidRPr="00126C5A">
              <w:rPr>
                <w:rFonts w:ascii="Calibri" w:eastAsia="Times New Roman" w:hAnsi="Calibri" w:cs="Times New Roman"/>
                <w:color w:val="000000"/>
                <w:sz w:val="20"/>
                <w:szCs w:val="20"/>
                <w:lang w:eastAsia="de-DE"/>
              </w:rPr>
              <w:t>India</w:t>
            </w:r>
            <w:proofErr w:type="spellEnd"/>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376</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823</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314</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000</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Peru</w:t>
            </w:r>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331</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547</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303</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264</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Honduras</w:t>
            </w:r>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302</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000</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300</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000</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proofErr w:type="spellStart"/>
            <w:r w:rsidRPr="00126C5A">
              <w:rPr>
                <w:rFonts w:ascii="Calibri" w:eastAsia="Times New Roman" w:hAnsi="Calibri" w:cs="Times New Roman"/>
                <w:color w:val="000000"/>
                <w:sz w:val="20"/>
                <w:szCs w:val="20"/>
                <w:lang w:eastAsia="de-DE"/>
              </w:rPr>
              <w:t>Ethiopia</w:t>
            </w:r>
            <w:proofErr w:type="spellEnd"/>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282</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361</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275</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530</w:t>
            </w:r>
          </w:p>
        </w:tc>
      </w:tr>
      <w:tr w:rsidR="003A650A" w:rsidRPr="00126C5A" w:rsidTr="0050433C">
        <w:trPr>
          <w:trHeight w:val="300"/>
        </w:trPr>
        <w:tc>
          <w:tcPr>
            <w:tcW w:w="3465" w:type="dxa"/>
            <w:tcBorders>
              <w:top w:val="nil"/>
              <w:left w:val="single" w:sz="4" w:space="0" w:color="000000"/>
              <w:bottom w:val="single" w:sz="4" w:space="0" w:color="000000"/>
              <w:right w:val="single" w:sz="4" w:space="0" w:color="000000"/>
            </w:tcBorders>
            <w:shd w:val="clear" w:color="auto" w:fill="auto"/>
            <w:vAlign w:val="bottom"/>
            <w:hideMark/>
          </w:tcPr>
          <w:p w:rsidR="003A650A" w:rsidRPr="00126C5A" w:rsidRDefault="003A650A" w:rsidP="0050433C">
            <w:pPr>
              <w:spacing w:line="240" w:lineRule="auto"/>
              <w:jc w:val="left"/>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Guatemala</w:t>
            </w:r>
          </w:p>
        </w:tc>
        <w:tc>
          <w:tcPr>
            <w:tcW w:w="1340" w:type="dxa"/>
            <w:tcBorders>
              <w:top w:val="nil"/>
              <w:left w:val="nil"/>
              <w:bottom w:val="single" w:sz="4" w:space="0" w:color="000000"/>
              <w:right w:val="single" w:sz="4" w:space="0" w:color="auto"/>
            </w:tcBorders>
            <w:vAlign w:val="center"/>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2D1206">
              <w:rPr>
                <w:rFonts w:ascii="Calibri" w:eastAsia="Times New Roman" w:hAnsi="Calibri" w:cs="Times New Roman"/>
                <w:color w:val="000000"/>
                <w:sz w:val="22"/>
                <w:lang w:eastAsia="de-DE"/>
              </w:rPr>
              <w:t>242</w:t>
            </w:r>
            <w:r>
              <w:rPr>
                <w:rFonts w:ascii="Calibri" w:eastAsia="Times New Roman" w:hAnsi="Calibri" w:cs="Times New Roman"/>
                <w:color w:val="000000"/>
                <w:sz w:val="22"/>
                <w:lang w:eastAsia="de-DE"/>
              </w:rPr>
              <w:t>.</w:t>
            </w:r>
            <w:r w:rsidRPr="002D1206">
              <w:rPr>
                <w:rFonts w:ascii="Calibri" w:eastAsia="Times New Roman" w:hAnsi="Calibri" w:cs="Times New Roman"/>
                <w:color w:val="000000"/>
                <w:sz w:val="22"/>
                <w:lang w:eastAsia="de-DE"/>
              </w:rPr>
              <w:t>839</w:t>
            </w:r>
          </w:p>
        </w:tc>
        <w:tc>
          <w:tcPr>
            <w:tcW w:w="850" w:type="dxa"/>
            <w:tcBorders>
              <w:top w:val="nil"/>
              <w:left w:val="single" w:sz="4" w:space="0" w:color="auto"/>
              <w:bottom w:val="single" w:sz="4" w:space="0" w:color="000000"/>
              <w:right w:val="single" w:sz="4" w:space="0" w:color="000000"/>
            </w:tcBorders>
            <w:shd w:val="clear" w:color="auto" w:fill="auto"/>
            <w:vAlign w:val="center"/>
            <w:hideMark/>
          </w:tcPr>
          <w:p w:rsidR="003A650A" w:rsidRPr="00126C5A" w:rsidRDefault="003A650A" w:rsidP="0050433C">
            <w:pPr>
              <w:spacing w:line="240" w:lineRule="auto"/>
              <w:jc w:val="center"/>
              <w:rPr>
                <w:rFonts w:ascii="Calibri" w:eastAsia="Times New Roman" w:hAnsi="Calibri" w:cs="Times New Roman"/>
                <w:color w:val="000000"/>
                <w:sz w:val="20"/>
                <w:szCs w:val="20"/>
                <w:lang w:eastAsia="de-DE"/>
              </w:rPr>
            </w:pPr>
            <w:r w:rsidRPr="00126C5A">
              <w:rPr>
                <w:rFonts w:ascii="Calibri" w:eastAsia="Times New Roman" w:hAnsi="Calibri" w:cs="Times New Roman"/>
                <w:color w:val="000000"/>
                <w:sz w:val="20"/>
                <w:szCs w:val="20"/>
                <w:lang w:eastAsia="de-DE"/>
              </w:rPr>
              <w:t>248</w:t>
            </w:r>
            <w:r>
              <w:rPr>
                <w:rFonts w:ascii="Calibri" w:eastAsia="Times New Roman" w:hAnsi="Calibri" w:cs="Times New Roman"/>
                <w:color w:val="000000"/>
                <w:sz w:val="20"/>
                <w:szCs w:val="20"/>
                <w:lang w:eastAsia="de-DE"/>
              </w:rPr>
              <w:t>.</w:t>
            </w:r>
            <w:r w:rsidRPr="00126C5A">
              <w:rPr>
                <w:rFonts w:ascii="Calibri" w:eastAsia="Times New Roman" w:hAnsi="Calibri" w:cs="Times New Roman"/>
                <w:color w:val="000000"/>
                <w:sz w:val="20"/>
                <w:szCs w:val="20"/>
                <w:lang w:eastAsia="de-DE"/>
              </w:rPr>
              <w:t>000</w:t>
            </w:r>
          </w:p>
        </w:tc>
      </w:tr>
    </w:tbl>
    <w:p w:rsidR="003A650A" w:rsidRPr="002D1206" w:rsidRDefault="003A650A" w:rsidP="003A650A">
      <w:pPr>
        <w:rPr>
          <w:sz w:val="20"/>
        </w:rPr>
      </w:pPr>
      <w:r w:rsidRPr="002D1206">
        <w:rPr>
          <w:sz w:val="20"/>
        </w:rPr>
        <w:t>http://faostat.fao.org/site/567/DesktopDefault.aspx?PageID=567#ancor</w:t>
      </w:r>
    </w:p>
    <w:p w:rsidR="003A650A" w:rsidRDefault="003A650A" w:rsidP="003A650A"/>
    <w:p w:rsidR="00480DE6" w:rsidRDefault="00480DE6" w:rsidP="003A650A"/>
    <w:p w:rsidR="003A650A" w:rsidRDefault="00B03908" w:rsidP="003A650A">
      <w:r w:rsidRPr="00B03908">
        <w:rPr>
          <w:b/>
        </w:rPr>
        <w:t>M 3</w:t>
      </w:r>
      <w:r>
        <w:t xml:space="preserve"> </w:t>
      </w:r>
      <w:r w:rsidR="003A650A">
        <w:t>Aluminium – Weltproduktion (in 1.000 t)</w:t>
      </w:r>
    </w:p>
    <w:tbl>
      <w:tblPr>
        <w:tblW w:w="6400" w:type="dxa"/>
        <w:tblInd w:w="65" w:type="dxa"/>
        <w:tblCellMar>
          <w:left w:w="70" w:type="dxa"/>
          <w:right w:w="70" w:type="dxa"/>
        </w:tblCellMar>
        <w:tblLook w:val="04A0" w:firstRow="1" w:lastRow="0" w:firstColumn="1" w:lastColumn="0" w:noHBand="0" w:noVBand="1"/>
      </w:tblPr>
      <w:tblGrid>
        <w:gridCol w:w="2600"/>
        <w:gridCol w:w="760"/>
        <w:gridCol w:w="760"/>
        <w:gridCol w:w="760"/>
        <w:gridCol w:w="760"/>
        <w:gridCol w:w="760"/>
      </w:tblGrid>
      <w:tr w:rsidR="003A650A" w:rsidRPr="00070697" w:rsidTr="00480DE6">
        <w:trPr>
          <w:trHeight w:val="22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650A" w:rsidRPr="00480DE6" w:rsidRDefault="003A650A" w:rsidP="0050433C">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Country</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2008</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2009</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2010</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2011</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2012</w:t>
            </w:r>
          </w:p>
        </w:tc>
      </w:tr>
      <w:tr w:rsidR="003A650A" w:rsidRPr="00070697" w:rsidTr="00480DE6">
        <w:trPr>
          <w:trHeight w:val="225"/>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3A650A" w:rsidRPr="00480DE6" w:rsidRDefault="003A650A" w:rsidP="0050433C">
            <w:pPr>
              <w:spacing w:line="240" w:lineRule="auto"/>
              <w:jc w:val="left"/>
              <w:rPr>
                <w:rFonts w:ascii="Arial" w:eastAsia="Times New Roman" w:hAnsi="Arial" w:cs="Arial"/>
                <w:sz w:val="16"/>
                <w:szCs w:val="16"/>
                <w:lang w:eastAsia="de-DE"/>
              </w:rPr>
            </w:pPr>
            <w:r w:rsidRPr="00480DE6">
              <w:rPr>
                <w:rFonts w:ascii="Arial" w:eastAsia="Times New Roman" w:hAnsi="Arial" w:cs="Arial"/>
                <w:sz w:val="16"/>
                <w:szCs w:val="16"/>
                <w:lang w:eastAsia="de-DE"/>
              </w:rPr>
              <w:t> </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r>
      <w:tr w:rsidR="003A650A" w:rsidRPr="00070697" w:rsidTr="00480DE6">
        <w:trPr>
          <w:trHeight w:val="248"/>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A650A" w:rsidRPr="00480DE6" w:rsidRDefault="003A650A" w:rsidP="0050433C">
            <w:pPr>
              <w:spacing w:line="240" w:lineRule="auto"/>
              <w:jc w:val="left"/>
              <w:rPr>
                <w:rFonts w:ascii="Arial" w:eastAsia="Times New Roman" w:hAnsi="Arial" w:cs="Arial"/>
                <w:sz w:val="16"/>
                <w:szCs w:val="16"/>
                <w:lang w:eastAsia="de-DE"/>
              </w:rPr>
            </w:pPr>
            <w:r w:rsidRPr="00480DE6">
              <w:rPr>
                <w:rFonts w:ascii="Arial" w:eastAsia="Times New Roman" w:hAnsi="Arial" w:cs="Arial"/>
                <w:sz w:val="16"/>
                <w:szCs w:val="16"/>
                <w:lang w:eastAsia="de-DE"/>
              </w:rPr>
              <w:t> </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p>
        </w:tc>
      </w:tr>
      <w:tr w:rsidR="003A650A" w:rsidRPr="00070697" w:rsidTr="00480DE6">
        <w:trPr>
          <w:trHeight w:val="24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3A650A" w:rsidRPr="00480DE6" w:rsidRDefault="003A650A" w:rsidP="0050433C">
            <w:pPr>
              <w:spacing w:line="240" w:lineRule="auto"/>
              <w:jc w:val="left"/>
              <w:rPr>
                <w:rFonts w:ascii="Arial" w:eastAsia="Times New Roman" w:hAnsi="Arial" w:cs="Arial"/>
                <w:sz w:val="16"/>
                <w:szCs w:val="16"/>
                <w:lang w:eastAsia="de-DE"/>
              </w:rPr>
            </w:pPr>
            <w:proofErr w:type="spellStart"/>
            <w:r w:rsidRPr="00480DE6">
              <w:rPr>
                <w:rFonts w:ascii="Arial" w:eastAsia="Times New Roman" w:hAnsi="Arial" w:cs="Arial"/>
                <w:sz w:val="16"/>
                <w:szCs w:val="16"/>
                <w:lang w:eastAsia="de-DE"/>
              </w:rPr>
              <w:t>China</w:t>
            </w:r>
            <w:r w:rsidRPr="00480DE6">
              <w:rPr>
                <w:rFonts w:ascii="Arial" w:eastAsia="Times New Roman" w:hAnsi="Arial" w:cs="Arial"/>
                <w:sz w:val="16"/>
                <w:szCs w:val="16"/>
                <w:vertAlign w:val="superscript"/>
                <w:lang w:eastAsia="de-DE"/>
              </w:rPr>
              <w:t>e</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22.800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23.800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29.000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34.100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37.700</w:t>
            </w:r>
          </w:p>
        </w:tc>
      </w:tr>
      <w:tr w:rsidR="003A650A" w:rsidRPr="00070697" w:rsidTr="00480DE6">
        <w:trPr>
          <w:trHeight w:val="248"/>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A650A" w:rsidRPr="00480DE6" w:rsidRDefault="003A650A" w:rsidP="0050433C">
            <w:pPr>
              <w:spacing w:line="240" w:lineRule="auto"/>
              <w:jc w:val="left"/>
              <w:rPr>
                <w:rFonts w:ascii="Arial" w:eastAsia="Times New Roman" w:hAnsi="Arial" w:cs="Arial"/>
                <w:sz w:val="16"/>
                <w:szCs w:val="16"/>
                <w:lang w:eastAsia="de-DE"/>
              </w:rPr>
            </w:pPr>
            <w:proofErr w:type="spellStart"/>
            <w:r w:rsidRPr="00480DE6">
              <w:rPr>
                <w:rFonts w:ascii="Arial" w:eastAsia="Times New Roman" w:hAnsi="Arial" w:cs="Arial"/>
                <w:sz w:val="16"/>
                <w:szCs w:val="16"/>
                <w:lang w:eastAsia="de-DE"/>
              </w:rPr>
              <w:t>Australia</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19.321</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19.948</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19.956</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19.399</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20.914</w:t>
            </w:r>
          </w:p>
        </w:tc>
      </w:tr>
      <w:tr w:rsidR="003A650A" w:rsidRPr="00070697" w:rsidTr="00480DE6">
        <w:trPr>
          <w:trHeight w:val="225"/>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3A650A" w:rsidRPr="00480DE6" w:rsidRDefault="003A650A" w:rsidP="0050433C">
            <w:pPr>
              <w:spacing w:line="240" w:lineRule="auto"/>
              <w:jc w:val="left"/>
              <w:rPr>
                <w:rFonts w:ascii="Arial" w:eastAsia="Times New Roman" w:hAnsi="Arial" w:cs="Arial"/>
                <w:sz w:val="16"/>
                <w:szCs w:val="16"/>
                <w:lang w:eastAsia="de-DE"/>
              </w:rPr>
            </w:pPr>
            <w:proofErr w:type="spellStart"/>
            <w:r w:rsidRPr="00480DE6">
              <w:rPr>
                <w:rFonts w:ascii="Arial" w:eastAsia="Times New Roman" w:hAnsi="Arial" w:cs="Arial"/>
                <w:sz w:val="16"/>
                <w:szCs w:val="16"/>
                <w:lang w:eastAsia="de-DE"/>
              </w:rPr>
              <w:t>Brazil</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7.822</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8.618</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9.433</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10.182</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10.000</w:t>
            </w:r>
          </w:p>
        </w:tc>
      </w:tr>
      <w:tr w:rsidR="003A650A" w:rsidRPr="00070697" w:rsidTr="00480DE6">
        <w:trPr>
          <w:trHeight w:val="248"/>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3A650A" w:rsidRPr="00480DE6" w:rsidRDefault="003A650A" w:rsidP="0050433C">
            <w:pPr>
              <w:spacing w:line="240" w:lineRule="auto"/>
              <w:jc w:val="left"/>
              <w:rPr>
                <w:rFonts w:ascii="Arial" w:eastAsia="Times New Roman" w:hAnsi="Arial" w:cs="Arial"/>
                <w:sz w:val="16"/>
                <w:szCs w:val="16"/>
                <w:lang w:eastAsia="de-DE"/>
              </w:rPr>
            </w:pPr>
            <w:r w:rsidRPr="00480DE6">
              <w:rPr>
                <w:rFonts w:ascii="Arial" w:eastAsia="Times New Roman" w:hAnsi="Arial" w:cs="Arial"/>
                <w:sz w:val="16"/>
                <w:szCs w:val="16"/>
                <w:lang w:eastAsia="de-DE"/>
              </w:rPr>
              <w:t>United States</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4.300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2.369</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3.468</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3.792</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4.387</w:t>
            </w:r>
          </w:p>
        </w:tc>
      </w:tr>
      <w:tr w:rsidR="003A650A" w:rsidRPr="00070697" w:rsidTr="00480DE6">
        <w:trPr>
          <w:trHeight w:val="248"/>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A650A" w:rsidRPr="00480DE6" w:rsidRDefault="003A650A" w:rsidP="0050433C">
            <w:pPr>
              <w:spacing w:line="240" w:lineRule="auto"/>
              <w:jc w:val="left"/>
              <w:rPr>
                <w:rFonts w:ascii="Arial" w:eastAsia="Times New Roman" w:hAnsi="Arial" w:cs="Arial"/>
                <w:sz w:val="16"/>
                <w:szCs w:val="16"/>
                <w:lang w:eastAsia="de-DE"/>
              </w:rPr>
            </w:pPr>
            <w:proofErr w:type="spellStart"/>
            <w:r w:rsidRPr="00480DE6">
              <w:rPr>
                <w:rFonts w:ascii="Arial" w:eastAsia="Times New Roman" w:hAnsi="Arial" w:cs="Arial"/>
                <w:sz w:val="16"/>
                <w:szCs w:val="16"/>
                <w:lang w:eastAsia="de-DE"/>
              </w:rPr>
              <w:t>India</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3.820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3.900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3.640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3.880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4.347</w:t>
            </w:r>
          </w:p>
        </w:tc>
      </w:tr>
      <w:tr w:rsidR="003A650A" w:rsidRPr="00070697" w:rsidTr="00480DE6">
        <w:trPr>
          <w:trHeight w:val="225"/>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3A650A" w:rsidRPr="00480DE6" w:rsidRDefault="003A650A" w:rsidP="0050433C">
            <w:pPr>
              <w:spacing w:line="240" w:lineRule="auto"/>
              <w:jc w:val="left"/>
              <w:rPr>
                <w:rFonts w:ascii="Arial" w:eastAsia="Times New Roman" w:hAnsi="Arial" w:cs="Arial"/>
                <w:sz w:val="16"/>
                <w:szCs w:val="16"/>
                <w:lang w:eastAsia="de-DE"/>
              </w:rPr>
            </w:pPr>
            <w:proofErr w:type="spellStart"/>
            <w:r w:rsidRPr="00480DE6">
              <w:rPr>
                <w:rFonts w:ascii="Arial" w:eastAsia="Times New Roman" w:hAnsi="Arial" w:cs="Arial"/>
                <w:sz w:val="16"/>
                <w:szCs w:val="16"/>
                <w:lang w:eastAsia="de-DE"/>
              </w:rPr>
              <w:t>Russia</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3.112</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2.794</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2.930</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2.825</w:t>
            </w:r>
          </w:p>
        </w:tc>
        <w:tc>
          <w:tcPr>
            <w:tcW w:w="760" w:type="dxa"/>
            <w:tcBorders>
              <w:top w:val="nil"/>
              <w:left w:val="nil"/>
              <w:bottom w:val="single" w:sz="4" w:space="0" w:color="auto"/>
              <w:right w:val="single" w:sz="4" w:space="0" w:color="auto"/>
            </w:tcBorders>
            <w:shd w:val="clear" w:color="auto" w:fill="auto"/>
            <w:noWrap/>
            <w:vAlign w:val="center"/>
            <w:hideMark/>
          </w:tcPr>
          <w:p w:rsidR="003A650A" w:rsidRPr="00480DE6" w:rsidRDefault="003A650A" w:rsidP="00480DE6">
            <w:pPr>
              <w:spacing w:line="240" w:lineRule="auto"/>
              <w:jc w:val="center"/>
              <w:rPr>
                <w:rFonts w:ascii="Arial" w:eastAsia="Times New Roman" w:hAnsi="Arial" w:cs="Arial"/>
                <w:sz w:val="16"/>
                <w:szCs w:val="16"/>
                <w:lang w:eastAsia="de-DE"/>
              </w:rPr>
            </w:pPr>
            <w:r w:rsidRPr="00480DE6">
              <w:rPr>
                <w:rFonts w:ascii="Arial" w:eastAsia="Times New Roman" w:hAnsi="Arial" w:cs="Arial"/>
                <w:sz w:val="16"/>
                <w:szCs w:val="16"/>
                <w:lang w:eastAsia="de-DE"/>
              </w:rPr>
              <w:t>2.719</w:t>
            </w:r>
          </w:p>
        </w:tc>
      </w:tr>
    </w:tbl>
    <w:p w:rsidR="003A650A" w:rsidRPr="00422670" w:rsidRDefault="003A650A" w:rsidP="003A650A">
      <w:pPr>
        <w:spacing w:line="240" w:lineRule="auto"/>
        <w:rPr>
          <w:sz w:val="20"/>
        </w:rPr>
      </w:pPr>
      <w:r w:rsidRPr="00422670">
        <w:rPr>
          <w:sz w:val="20"/>
        </w:rPr>
        <w:t>Quelle: http://minerals.usgs.gov/minerals/pubs/commodity/bauxite/myb1-2012-bauxi.xls, Tabelle12, bearbeitet</w:t>
      </w:r>
    </w:p>
    <w:p w:rsidR="003A650A" w:rsidRDefault="003A650A" w:rsidP="003A650A"/>
    <w:p w:rsidR="003A650A" w:rsidRDefault="003A650A" w:rsidP="003A650A"/>
    <w:p w:rsidR="00480DE6" w:rsidRDefault="00480DE6" w:rsidP="003A650A">
      <w:pPr>
        <w:sectPr w:rsidR="00480DE6" w:rsidSect="00480DE6">
          <w:headerReference w:type="default" r:id="rId6"/>
          <w:pgSz w:w="16838" w:h="11906" w:orient="landscape"/>
          <w:pgMar w:top="1417" w:right="1417" w:bottom="1417" w:left="1134" w:header="708" w:footer="708" w:gutter="0"/>
          <w:cols w:num="2" w:space="708"/>
          <w:docGrid w:linePitch="360"/>
        </w:sectPr>
      </w:pPr>
    </w:p>
    <w:p w:rsidR="00480DE6" w:rsidRPr="00B03908" w:rsidRDefault="00B03908" w:rsidP="00B03908">
      <w:pPr>
        <w:tabs>
          <w:tab w:val="left" w:pos="8080"/>
        </w:tabs>
        <w:rPr>
          <w:b/>
        </w:rPr>
      </w:pPr>
      <w:r>
        <w:lastRenderedPageBreak/>
        <w:tab/>
      </w:r>
      <w:r w:rsidRPr="00B03908">
        <w:rPr>
          <w:b/>
        </w:rPr>
        <w:t>M 4</w:t>
      </w:r>
    </w:p>
    <w:p w:rsidR="00480DE6" w:rsidRDefault="00B03908" w:rsidP="00480DE6">
      <w:r>
        <w:rPr>
          <w:noProof/>
          <w:lang w:eastAsia="de-DE"/>
        </w:rPr>
        <w:drawing>
          <wp:anchor distT="0" distB="0" distL="114300" distR="114300" simplePos="0" relativeHeight="251658240" behindDoc="1" locked="0" layoutInCell="1" allowOverlap="1">
            <wp:simplePos x="0" y="0"/>
            <wp:positionH relativeFrom="column">
              <wp:posOffset>5166360</wp:posOffset>
            </wp:positionH>
            <wp:positionV relativeFrom="paragraph">
              <wp:posOffset>86360</wp:posOffset>
            </wp:positionV>
            <wp:extent cx="3867150" cy="2524125"/>
            <wp:effectExtent l="19050" t="0" r="19050" b="0"/>
            <wp:wrapTight wrapText="bothSides">
              <wp:wrapPolygon edited="0">
                <wp:start x="-106" y="0"/>
                <wp:lineTo x="-106" y="21518"/>
                <wp:lineTo x="21706" y="21518"/>
                <wp:lineTo x="21706" y="0"/>
                <wp:lineTo x="-106" y="0"/>
              </wp:wrapPolygon>
            </wp:wrapTight>
            <wp:docPr id="7"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480DE6" w:rsidRDefault="00B03908" w:rsidP="00480DE6">
      <w:r w:rsidRPr="00B03908">
        <w:rPr>
          <w:b/>
        </w:rPr>
        <w:t xml:space="preserve">M 2 </w:t>
      </w:r>
      <w:r w:rsidR="00480DE6">
        <w:t xml:space="preserve">Bauxit – Weltproduktion (in 1.000 t) </w:t>
      </w:r>
    </w:p>
    <w:tbl>
      <w:tblPr>
        <w:tblpPr w:leftFromText="141" w:rightFromText="141" w:vertAnchor="text" w:horzAnchor="margin" w:tblpY="73"/>
        <w:tblW w:w="7300" w:type="dxa"/>
        <w:tblLayout w:type="fixed"/>
        <w:tblCellMar>
          <w:left w:w="70" w:type="dxa"/>
          <w:right w:w="70" w:type="dxa"/>
        </w:tblCellMar>
        <w:tblLook w:val="04A0" w:firstRow="1" w:lastRow="0" w:firstColumn="1" w:lastColumn="0" w:noHBand="0" w:noVBand="1"/>
      </w:tblPr>
      <w:tblGrid>
        <w:gridCol w:w="1771"/>
        <w:gridCol w:w="1105"/>
        <w:gridCol w:w="1106"/>
        <w:gridCol w:w="1106"/>
        <w:gridCol w:w="1106"/>
        <w:gridCol w:w="1106"/>
      </w:tblGrid>
      <w:tr w:rsidR="00480DE6" w:rsidRPr="00070697" w:rsidTr="00480DE6">
        <w:trPr>
          <w:trHeight w:val="24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Country</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2008</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2009</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2010</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2011</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2012</w:t>
            </w:r>
            <w:r w:rsidRPr="00070697">
              <w:rPr>
                <w:rFonts w:eastAsia="Times New Roman" w:cs="Times New Roman"/>
                <w:sz w:val="16"/>
                <w:szCs w:val="16"/>
                <w:vertAlign w:val="superscript"/>
                <w:lang w:eastAsia="de-DE"/>
              </w:rPr>
              <w:t>e</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r w:rsidRPr="00070697">
              <w:rPr>
                <w:rFonts w:eastAsia="Times New Roman" w:cs="Times New Roman"/>
                <w:sz w:val="16"/>
                <w:szCs w:val="16"/>
                <w:lang w:eastAsia="de-DE"/>
              </w:rPr>
              <w:t> </w:t>
            </w:r>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proofErr w:type="spellStart"/>
            <w:r w:rsidRPr="00070697">
              <w:rPr>
                <w:rFonts w:eastAsia="Times New Roman" w:cs="Times New Roman"/>
                <w:sz w:val="16"/>
                <w:szCs w:val="16"/>
                <w:lang w:eastAsia="de-DE"/>
              </w:rPr>
              <w:t>Australia</w:t>
            </w:r>
            <w:proofErr w:type="spellEnd"/>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64.038</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65.231</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68.414</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69.976</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76.282</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proofErr w:type="spellStart"/>
            <w:r w:rsidRPr="00070697">
              <w:rPr>
                <w:rFonts w:eastAsia="Times New Roman" w:cs="Times New Roman"/>
                <w:sz w:val="16"/>
                <w:szCs w:val="16"/>
                <w:lang w:eastAsia="de-DE"/>
              </w:rPr>
              <w:t>China</w:t>
            </w:r>
            <w:r w:rsidRPr="00070697">
              <w:rPr>
                <w:rFonts w:eastAsia="Times New Roman" w:cs="Times New Roman"/>
                <w:sz w:val="16"/>
                <w:szCs w:val="16"/>
                <w:vertAlign w:val="superscript"/>
                <w:lang w:eastAsia="de-DE"/>
              </w:rPr>
              <w:t>e</w:t>
            </w:r>
            <w:proofErr w:type="spellEnd"/>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35.000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40.000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44.000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45.000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47.000</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proofErr w:type="spellStart"/>
            <w:r w:rsidRPr="00070697">
              <w:rPr>
                <w:rFonts w:eastAsia="Times New Roman" w:cs="Times New Roman"/>
                <w:sz w:val="16"/>
                <w:szCs w:val="16"/>
                <w:lang w:eastAsia="de-DE"/>
              </w:rPr>
              <w:t>Brazil</w:t>
            </w:r>
            <w:proofErr w:type="spellEnd"/>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28.098</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26.074</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32.028</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33.695</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34.000</w:t>
            </w:r>
          </w:p>
        </w:tc>
      </w:tr>
      <w:tr w:rsidR="00480DE6" w:rsidRPr="00070697" w:rsidTr="00480DE6">
        <w:trPr>
          <w:trHeight w:val="225"/>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proofErr w:type="spellStart"/>
            <w:r w:rsidRPr="00070697">
              <w:rPr>
                <w:rFonts w:eastAsia="Times New Roman" w:cs="Times New Roman"/>
                <w:sz w:val="16"/>
                <w:szCs w:val="16"/>
                <w:lang w:eastAsia="de-DE"/>
              </w:rPr>
              <w:t>Indonesia</w:t>
            </w:r>
            <w:r w:rsidRPr="00070697">
              <w:rPr>
                <w:rFonts w:eastAsia="Times New Roman" w:cs="Times New Roman"/>
                <w:sz w:val="16"/>
                <w:szCs w:val="16"/>
                <w:vertAlign w:val="superscript"/>
                <w:lang w:eastAsia="de-DE"/>
              </w:rPr>
              <w:t>e</w:t>
            </w:r>
            <w:proofErr w:type="spellEnd"/>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17.000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15.000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27.000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40.000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29.000</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proofErr w:type="spellStart"/>
            <w:r w:rsidRPr="00070697">
              <w:rPr>
                <w:rFonts w:eastAsia="Times New Roman" w:cs="Times New Roman"/>
                <w:sz w:val="16"/>
                <w:szCs w:val="16"/>
                <w:lang w:eastAsia="de-DE"/>
              </w:rPr>
              <w:t>India</w:t>
            </w:r>
            <w:proofErr w:type="spellEnd"/>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21.210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16.000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18.000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19.000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19.000</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r w:rsidRPr="00070697">
              <w:rPr>
                <w:rFonts w:eastAsia="Times New Roman" w:cs="Times New Roman"/>
                <w:sz w:val="16"/>
                <w:szCs w:val="16"/>
                <w:lang w:eastAsia="de-DE"/>
              </w:rPr>
              <w:t>Guinea</w:t>
            </w:r>
            <w:r w:rsidRPr="00070697">
              <w:rPr>
                <w:rFonts w:eastAsia="Times New Roman" w:cs="Times New Roman"/>
                <w:sz w:val="16"/>
                <w:szCs w:val="16"/>
                <w:vertAlign w:val="superscript"/>
                <w:lang w:eastAsia="de-DE"/>
              </w:rPr>
              <w:t>5</w:t>
            </w:r>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16.000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13.600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15.300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15.300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17.823</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r w:rsidRPr="00070697">
              <w:rPr>
                <w:rFonts w:eastAsia="Times New Roman" w:cs="Times New Roman"/>
                <w:sz w:val="16"/>
                <w:szCs w:val="16"/>
                <w:lang w:eastAsia="de-DE"/>
              </w:rPr>
              <w:t>Jamaica</w:t>
            </w:r>
            <w:r w:rsidRPr="00070697">
              <w:rPr>
                <w:rFonts w:eastAsia="Times New Roman" w:cs="Times New Roman"/>
                <w:sz w:val="16"/>
                <w:szCs w:val="16"/>
                <w:vertAlign w:val="superscript"/>
                <w:lang w:eastAsia="de-DE"/>
              </w:rPr>
              <w:t>5, 6</w:t>
            </w:r>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14.636</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7.817</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8.540</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10.189</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sidRPr="00070697">
              <w:rPr>
                <w:rFonts w:eastAsia="Times New Roman" w:cs="Times New Roman"/>
                <w:sz w:val="16"/>
                <w:szCs w:val="16"/>
                <w:lang w:eastAsia="de-DE"/>
              </w:rPr>
              <w:t>9.339</w:t>
            </w:r>
          </w:p>
        </w:tc>
      </w:tr>
      <w:tr w:rsidR="00480DE6" w:rsidRPr="00070697" w:rsidTr="00480DE6">
        <w:trPr>
          <w:trHeight w:val="248"/>
        </w:trPr>
        <w:tc>
          <w:tcPr>
            <w:tcW w:w="1771" w:type="dxa"/>
            <w:tcBorders>
              <w:top w:val="nil"/>
              <w:left w:val="single" w:sz="4" w:space="0" w:color="auto"/>
              <w:bottom w:val="single" w:sz="4" w:space="0" w:color="auto"/>
              <w:right w:val="single" w:sz="4" w:space="0" w:color="auto"/>
            </w:tcBorders>
            <w:shd w:val="clear" w:color="auto" w:fill="auto"/>
            <w:noWrap/>
            <w:vAlign w:val="bottom"/>
            <w:hideMark/>
          </w:tcPr>
          <w:p w:rsidR="00480DE6" w:rsidRPr="00070697" w:rsidRDefault="00480DE6" w:rsidP="00480DE6">
            <w:pPr>
              <w:spacing w:line="240" w:lineRule="auto"/>
              <w:jc w:val="left"/>
              <w:rPr>
                <w:rFonts w:eastAsia="Times New Roman" w:cs="Times New Roman"/>
                <w:sz w:val="16"/>
                <w:szCs w:val="16"/>
                <w:lang w:eastAsia="de-DE"/>
              </w:rPr>
            </w:pPr>
            <w:r>
              <w:rPr>
                <w:rFonts w:eastAsia="Times New Roman" w:cs="Times New Roman"/>
                <w:sz w:val="16"/>
                <w:szCs w:val="16"/>
                <w:lang w:eastAsia="de-DE"/>
              </w:rPr>
              <w:t>USA</w:t>
            </w:r>
          </w:p>
        </w:tc>
        <w:tc>
          <w:tcPr>
            <w:tcW w:w="1105"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Pr>
                <w:rFonts w:eastAsia="Times New Roman" w:cs="Times New Roman"/>
                <w:sz w:val="16"/>
                <w:szCs w:val="16"/>
                <w:lang w:eastAsia="de-DE"/>
              </w:rPr>
              <w:t>NA</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Pr>
                <w:rFonts w:eastAsia="Times New Roman" w:cs="Times New Roman"/>
                <w:sz w:val="16"/>
                <w:szCs w:val="16"/>
                <w:lang w:eastAsia="de-DE"/>
              </w:rPr>
              <w:t>NA</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Pr>
                <w:rFonts w:eastAsia="Times New Roman" w:cs="Times New Roman"/>
                <w:sz w:val="16"/>
                <w:szCs w:val="16"/>
                <w:lang w:eastAsia="de-DE"/>
              </w:rPr>
              <w:t>NA</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Pr>
                <w:rFonts w:eastAsia="Times New Roman" w:cs="Times New Roman"/>
                <w:sz w:val="16"/>
                <w:szCs w:val="16"/>
                <w:lang w:eastAsia="de-DE"/>
              </w:rPr>
              <w:t>NA</w:t>
            </w:r>
          </w:p>
        </w:tc>
        <w:tc>
          <w:tcPr>
            <w:tcW w:w="1106" w:type="dxa"/>
            <w:tcBorders>
              <w:top w:val="nil"/>
              <w:left w:val="nil"/>
              <w:bottom w:val="single" w:sz="4" w:space="0" w:color="auto"/>
              <w:right w:val="single" w:sz="4" w:space="0" w:color="auto"/>
            </w:tcBorders>
            <w:shd w:val="clear" w:color="auto" w:fill="auto"/>
            <w:noWrap/>
            <w:vAlign w:val="center"/>
            <w:hideMark/>
          </w:tcPr>
          <w:p w:rsidR="00480DE6" w:rsidRPr="00070697" w:rsidRDefault="00480DE6" w:rsidP="00480DE6">
            <w:pPr>
              <w:spacing w:line="240" w:lineRule="auto"/>
              <w:jc w:val="center"/>
              <w:rPr>
                <w:rFonts w:eastAsia="Times New Roman" w:cs="Times New Roman"/>
                <w:sz w:val="16"/>
                <w:szCs w:val="16"/>
                <w:lang w:eastAsia="de-DE"/>
              </w:rPr>
            </w:pPr>
            <w:r>
              <w:rPr>
                <w:rFonts w:eastAsia="Times New Roman" w:cs="Times New Roman"/>
                <w:sz w:val="16"/>
                <w:szCs w:val="16"/>
                <w:lang w:eastAsia="de-DE"/>
              </w:rPr>
              <w:t>NA</w:t>
            </w:r>
          </w:p>
        </w:tc>
      </w:tr>
    </w:tbl>
    <w:p w:rsidR="003A650A" w:rsidRDefault="003A650A" w:rsidP="003A650A"/>
    <w:p w:rsidR="003A650A" w:rsidRDefault="003A650A" w:rsidP="003A650A">
      <w:r>
        <w:tab/>
      </w: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8A431C" w:rsidRDefault="008A431C" w:rsidP="003A650A">
      <w:pPr>
        <w:spacing w:line="240" w:lineRule="auto"/>
        <w:rPr>
          <w:sz w:val="20"/>
        </w:rPr>
      </w:pPr>
    </w:p>
    <w:p w:rsidR="00480DE6" w:rsidRDefault="003A650A" w:rsidP="003A650A">
      <w:pPr>
        <w:spacing w:line="240" w:lineRule="auto"/>
        <w:rPr>
          <w:sz w:val="20"/>
        </w:rPr>
      </w:pPr>
      <w:r w:rsidRPr="00422670">
        <w:rPr>
          <w:sz w:val="20"/>
        </w:rPr>
        <w:t xml:space="preserve">Quelle: </w:t>
      </w:r>
      <w:r w:rsidR="00480DE6" w:rsidRPr="00480DE6">
        <w:rPr>
          <w:sz w:val="20"/>
        </w:rPr>
        <w:t>http://minerals.usgs.gov/minerals/pubs/commodity/bauxite/myb1-2012-bauxi.xls</w:t>
      </w:r>
      <w:r w:rsidR="00480DE6">
        <w:rPr>
          <w:sz w:val="20"/>
        </w:rPr>
        <w:t>,</w:t>
      </w:r>
    </w:p>
    <w:p w:rsidR="003A650A" w:rsidRPr="00422670" w:rsidRDefault="003A650A" w:rsidP="003A650A">
      <w:pPr>
        <w:spacing w:line="240" w:lineRule="auto"/>
        <w:rPr>
          <w:sz w:val="20"/>
        </w:rPr>
      </w:pPr>
      <w:r w:rsidRPr="00422670">
        <w:rPr>
          <w:sz w:val="20"/>
        </w:rPr>
        <w:t>Tabelle1</w:t>
      </w:r>
      <w:r>
        <w:rPr>
          <w:sz w:val="20"/>
        </w:rPr>
        <w:t>1</w:t>
      </w:r>
      <w:r w:rsidRPr="00422670">
        <w:rPr>
          <w:sz w:val="20"/>
        </w:rPr>
        <w:t>, bearbeitet</w:t>
      </w:r>
    </w:p>
    <w:p w:rsidR="003A650A" w:rsidRDefault="003A650A" w:rsidP="003A650A"/>
    <w:p w:rsidR="003A650A" w:rsidRDefault="003A650A" w:rsidP="003A650A">
      <w:pPr>
        <w:jc w:val="left"/>
      </w:pPr>
    </w:p>
    <w:p w:rsidR="003C32F5" w:rsidRDefault="00480DE6" w:rsidP="003C32F5">
      <w:pPr>
        <w:jc w:val="left"/>
        <w:rPr>
          <w:sz w:val="20"/>
        </w:rPr>
      </w:pPr>
      <w:r>
        <w:tab/>
      </w:r>
      <w:r>
        <w:tab/>
      </w:r>
      <w:r>
        <w:tab/>
      </w:r>
      <w:r>
        <w:tab/>
      </w:r>
      <w:r w:rsidR="003C32F5">
        <w:tab/>
      </w:r>
      <w:r w:rsidR="003C32F5">
        <w:tab/>
      </w:r>
      <w:r w:rsidR="003C32F5">
        <w:tab/>
        <w:t xml:space="preserve">                                                      </w:t>
      </w:r>
      <w:r w:rsidR="003A650A" w:rsidRPr="00B558B3">
        <w:rPr>
          <w:sz w:val="20"/>
        </w:rPr>
        <w:t>https://www.cia.gov/library/publications/the-world-factbook/geos/br.html</w:t>
      </w:r>
    </w:p>
    <w:p w:rsidR="00B03908" w:rsidRDefault="00B03908" w:rsidP="003C32F5">
      <w:pPr>
        <w:jc w:val="left"/>
        <w:sectPr w:rsidR="00B03908" w:rsidSect="00480DE6">
          <w:type w:val="continuous"/>
          <w:pgSz w:w="16838" w:h="11906" w:orient="landscape"/>
          <w:pgMar w:top="1417" w:right="1417" w:bottom="1417" w:left="1134" w:header="708" w:footer="708" w:gutter="0"/>
          <w:cols w:space="708"/>
          <w:docGrid w:linePitch="360"/>
        </w:sectPr>
      </w:pPr>
    </w:p>
    <w:p w:rsidR="003A650A" w:rsidRPr="00B03908" w:rsidRDefault="003A650A" w:rsidP="003A650A">
      <w:pPr>
        <w:jc w:val="left"/>
        <w:rPr>
          <w:b/>
        </w:rPr>
      </w:pPr>
      <w:r w:rsidRPr="00B03908">
        <w:rPr>
          <w:b/>
          <w:noProof/>
          <w:lang w:eastAsia="de-DE"/>
        </w:rPr>
        <w:lastRenderedPageBreak/>
        <w:drawing>
          <wp:anchor distT="0" distB="0" distL="114300" distR="114300" simplePos="0" relativeHeight="251659264" behindDoc="0" locked="0" layoutInCell="1" allowOverlap="1">
            <wp:simplePos x="0" y="0"/>
            <wp:positionH relativeFrom="column">
              <wp:align>left</wp:align>
            </wp:positionH>
            <wp:positionV relativeFrom="paragraph">
              <wp:posOffset>342900</wp:posOffset>
            </wp:positionV>
            <wp:extent cx="4000500" cy="2686050"/>
            <wp:effectExtent l="19050" t="0" r="19050" b="0"/>
            <wp:wrapSquare wrapText="bothSides"/>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B03908">
        <w:rPr>
          <w:b/>
        </w:rPr>
        <w:t>M</w:t>
      </w:r>
      <w:r w:rsidR="00B03908" w:rsidRPr="00B03908">
        <w:rPr>
          <w:b/>
        </w:rPr>
        <w:t xml:space="preserve"> 5</w:t>
      </w:r>
      <w:r w:rsidR="00B03908" w:rsidRPr="00B03908">
        <w:rPr>
          <w:b/>
        </w:rPr>
        <w:br w:type="textWrapping" w:clear="all"/>
      </w: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B03908" w:rsidRDefault="00B03908" w:rsidP="003A650A">
      <w:pPr>
        <w:jc w:val="left"/>
        <w:rPr>
          <w:sz w:val="20"/>
        </w:rPr>
      </w:pPr>
    </w:p>
    <w:p w:rsidR="003A650A" w:rsidRPr="0078065D" w:rsidRDefault="003A650A" w:rsidP="003A650A">
      <w:pPr>
        <w:jc w:val="left"/>
        <w:rPr>
          <w:sz w:val="20"/>
        </w:rPr>
      </w:pPr>
      <w:r w:rsidRPr="0078065D">
        <w:rPr>
          <w:sz w:val="20"/>
        </w:rPr>
        <w:t>https://www.cia.gov/library/publications/the-world-factbook/geos/br.html</w:t>
      </w:r>
    </w:p>
    <w:p w:rsidR="00011C0D" w:rsidRDefault="00011C0D"/>
    <w:p w:rsidR="00F471CB" w:rsidRPr="00294741" w:rsidRDefault="00FD2208" w:rsidP="00294741">
      <w:pPr>
        <w:rPr>
          <w:b/>
        </w:rPr>
      </w:pPr>
      <w:r w:rsidRPr="00FD2208">
        <w:rPr>
          <w:b/>
        </w:rPr>
        <w:t>M 6</w:t>
      </w:r>
      <w:r w:rsidR="003B7090">
        <w:rPr>
          <w:b/>
        </w:rPr>
        <w:t xml:space="preserve"> </w:t>
      </w:r>
    </w:p>
    <w:p w:rsidR="00F471CB" w:rsidRPr="00480DE6" w:rsidRDefault="00F471CB" w:rsidP="00F471CB">
      <w:pPr>
        <w:pBdr>
          <w:top w:val="single" w:sz="4" w:space="1" w:color="auto"/>
          <w:left w:val="single" w:sz="4" w:space="4" w:color="auto"/>
          <w:bottom w:val="single" w:sz="4" w:space="1" w:color="auto"/>
          <w:right w:val="single" w:sz="4" w:space="4" w:color="auto"/>
        </w:pBdr>
        <w:spacing w:line="240" w:lineRule="auto"/>
        <w:rPr>
          <w:b/>
          <w:sz w:val="22"/>
        </w:rPr>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r>
        <w:t>Hinweis:</w:t>
      </w: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r>
        <w:t>Aus urheberrechtlichen Gründen könnten wir Ihnen leider das folgende Material leider nicht direkt zum Download zur Verfügung stellen. Bitte nutzen Sie nach Möglichkeit die angegebene Originalquelle (Link) oder suchen Sie über eine Suchmaschine nach einem vergleichbaren Material. Vielen Dank für Ihr Verständnis.</w:t>
      </w: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r>
        <w:t>Material Nr.</w:t>
      </w:r>
      <w:r>
        <w:tab/>
      </w:r>
      <w:r>
        <w:tab/>
      </w:r>
      <w:r>
        <w:tab/>
        <w:t>WR_2</w:t>
      </w:r>
    </w:p>
    <w:p w:rsidR="00294741" w:rsidRPr="00294741" w:rsidRDefault="00294741" w:rsidP="00294741">
      <w:pPr>
        <w:pBdr>
          <w:top w:val="single" w:sz="4" w:space="1" w:color="auto"/>
          <w:left w:val="single" w:sz="4" w:space="4" w:color="auto"/>
          <w:bottom w:val="single" w:sz="4" w:space="1" w:color="auto"/>
          <w:right w:val="single" w:sz="4" w:space="4" w:color="auto"/>
        </w:pBdr>
        <w:shd w:val="clear" w:color="auto" w:fill="F2F2F2"/>
        <w:rPr>
          <w:b/>
        </w:rPr>
      </w:pPr>
      <w:r>
        <w:t>Titel des Materials:</w:t>
      </w:r>
      <w:r>
        <w:tab/>
      </w:r>
      <w:r>
        <w:tab/>
      </w:r>
      <w:r w:rsidRPr="00294741">
        <w:rPr>
          <w:b/>
        </w:rPr>
        <w:t>Ein Bischof gegen das Kartell</w:t>
      </w:r>
    </w:p>
    <w:p w:rsidR="00294741" w:rsidRPr="00294741" w:rsidRDefault="00294741" w:rsidP="00294741">
      <w:pPr>
        <w:pBdr>
          <w:top w:val="single" w:sz="4" w:space="1" w:color="auto"/>
          <w:left w:val="single" w:sz="4" w:space="4" w:color="auto"/>
          <w:bottom w:val="single" w:sz="4" w:space="1" w:color="auto"/>
          <w:right w:val="single" w:sz="4" w:space="4" w:color="auto"/>
        </w:pBdr>
        <w:shd w:val="clear" w:color="auto" w:fill="F2F2F2"/>
        <w:rPr>
          <w:b/>
        </w:rPr>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r>
        <w:t>Quelle:</w:t>
      </w:r>
      <w:r>
        <w:tab/>
      </w:r>
      <w:r>
        <w:tab/>
      </w:r>
      <w:r>
        <w:tab/>
      </w:r>
      <w:r>
        <w:tab/>
        <w:t>www.sueddeutsche.de</w:t>
      </w: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r>
        <w:t xml:space="preserve">Art des Materials: </w:t>
      </w:r>
      <w:r>
        <w:tab/>
      </w:r>
      <w:r>
        <w:tab/>
        <w:t>Text</w:t>
      </w:r>
    </w:p>
    <w:p w:rsidR="00294741" w:rsidRDefault="00294741" w:rsidP="00294741">
      <w:pPr>
        <w:pBdr>
          <w:top w:val="single" w:sz="4" w:space="1" w:color="auto"/>
          <w:left w:val="single" w:sz="4" w:space="4" w:color="auto"/>
          <w:bottom w:val="single" w:sz="4" w:space="1" w:color="auto"/>
          <w:right w:val="single" w:sz="4" w:space="4" w:color="auto"/>
        </w:pBdr>
        <w:shd w:val="clear" w:color="auto" w:fill="F2F2F2"/>
      </w:pPr>
    </w:p>
    <w:p w:rsidR="00294741" w:rsidRPr="00F471CB" w:rsidRDefault="00294741" w:rsidP="00294741">
      <w:pPr>
        <w:pBdr>
          <w:top w:val="single" w:sz="4" w:space="1" w:color="auto"/>
          <w:left w:val="single" w:sz="4" w:space="4" w:color="auto"/>
          <w:bottom w:val="single" w:sz="4" w:space="1" w:color="auto"/>
          <w:right w:val="single" w:sz="4" w:space="4" w:color="auto"/>
        </w:pBdr>
        <w:spacing w:line="240" w:lineRule="auto"/>
        <w:rPr>
          <w:sz w:val="20"/>
        </w:rPr>
      </w:pPr>
      <w:r>
        <w:t>Link zum Material:</w:t>
      </w:r>
      <w:r>
        <w:tab/>
      </w:r>
      <w:r>
        <w:rPr>
          <w:sz w:val="20"/>
        </w:rPr>
        <w:t>(</w:t>
      </w:r>
      <w:r w:rsidRPr="00F471CB">
        <w:rPr>
          <w:sz w:val="20"/>
        </w:rPr>
        <w:t>www.sueddeutsche.de/politik/alternativer-nobelpreis-erwin-kraeutler-ein-bischof-gegen-das-kartell-1.1032925</w:t>
      </w:r>
      <w:r>
        <w:rPr>
          <w:sz w:val="20"/>
        </w:rPr>
        <w:t>)</w:t>
      </w:r>
    </w:p>
    <w:p w:rsidR="008A431C" w:rsidRDefault="008A431C"/>
    <w:p w:rsidR="008A431C" w:rsidRPr="003B7090" w:rsidRDefault="00E43FA3">
      <w:pPr>
        <w:rPr>
          <w:b/>
        </w:rPr>
      </w:pPr>
      <w:r w:rsidRPr="003B7090">
        <w:rPr>
          <w:b/>
        </w:rPr>
        <w:t>M 7 Informationen zur Fläche</w:t>
      </w:r>
    </w:p>
    <w:p w:rsidR="000E7EB4" w:rsidRDefault="00E43FA3" w:rsidP="0006584E">
      <w:pPr>
        <w:pBdr>
          <w:top w:val="single" w:sz="4" w:space="1" w:color="auto"/>
          <w:left w:val="single" w:sz="4" w:space="4" w:color="auto"/>
          <w:bottom w:val="single" w:sz="4" w:space="1" w:color="auto"/>
          <w:right w:val="single" w:sz="4" w:space="4" w:color="auto"/>
        </w:pBdr>
      </w:pPr>
      <w:r>
        <w:t xml:space="preserve">Wegen des geringen Gefälles im Amazonasbecken muss zur Erzeugung einer entsprechenden Strommenge viel Land überstaut werden. Um ein MW zu erzeugen sind daher am Balbina-Kraftwerk nahe Manaus 2.600 ha überstaute Fläche notwendig. Am </w:t>
      </w:r>
      <w:proofErr w:type="spellStart"/>
      <w:r>
        <w:t>Sanxia</w:t>
      </w:r>
      <w:proofErr w:type="spellEnd"/>
      <w:r>
        <w:t>-Staudamm sind für die gleiche Menge Strom lediglich 5,95 ha erforderlich.</w:t>
      </w:r>
    </w:p>
    <w:p w:rsidR="003C32F5" w:rsidRDefault="003C32F5" w:rsidP="000E7EB4">
      <w:pPr>
        <w:pBdr>
          <w:top w:val="single" w:sz="4" w:space="1" w:color="auto"/>
          <w:left w:val="single" w:sz="4" w:space="4" w:color="auto"/>
          <w:bottom w:val="single" w:sz="4" w:space="1" w:color="auto"/>
          <w:right w:val="single" w:sz="4" w:space="4" w:color="auto"/>
        </w:pBdr>
        <w:sectPr w:rsidR="003C32F5" w:rsidSect="003C32F5">
          <w:pgSz w:w="11906" w:h="16838"/>
          <w:pgMar w:top="1134" w:right="1417" w:bottom="1417" w:left="1417" w:header="708" w:footer="708" w:gutter="0"/>
          <w:cols w:space="708"/>
          <w:docGrid w:linePitch="360"/>
        </w:sectPr>
      </w:pPr>
    </w:p>
    <w:p w:rsidR="008A431C" w:rsidRPr="00B03908" w:rsidRDefault="00B03908">
      <w:pPr>
        <w:rPr>
          <w:b/>
        </w:rPr>
      </w:pPr>
      <w:r w:rsidRPr="00B03908">
        <w:rPr>
          <w:b/>
        </w:rPr>
        <w:lastRenderedPageBreak/>
        <w:t xml:space="preserve">M </w:t>
      </w:r>
      <w:r w:rsidR="00E43FA3">
        <w:rPr>
          <w:b/>
        </w:rPr>
        <w:t>8</w:t>
      </w:r>
      <w:r>
        <w:rPr>
          <w:b/>
        </w:rPr>
        <w:t xml:space="preserve"> Folgen der Regenwaldvernichtung</w:t>
      </w:r>
    </w:p>
    <w:p w:rsidR="000E7EB4" w:rsidRDefault="003C32F5" w:rsidP="000E7EB4">
      <w:pPr>
        <w:pBdr>
          <w:top w:val="single" w:sz="4" w:space="1" w:color="auto"/>
          <w:left w:val="single" w:sz="4" w:space="4" w:color="auto"/>
          <w:bottom w:val="single" w:sz="4" w:space="1" w:color="auto"/>
          <w:right w:val="single" w:sz="4" w:space="4" w:color="auto"/>
        </w:pBdr>
        <w:shd w:val="clear" w:color="auto" w:fill="F2F2F2"/>
      </w:pPr>
      <w:r>
        <w:t xml:space="preserve">     </w:t>
      </w:r>
      <w:r w:rsidR="000E7EB4">
        <w:t>Hinweis:</w:t>
      </w: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r>
        <w:t>Aus urheberrechtlichen Gründen könnten wir Ihnen leider das folgende Material leider nicht direkt zum Download zur Verfügung stellen. Bitte nutzen Sie nach Möglichkeit die angegebene Originalquelle (Link) oder suchen Sie über eine Suchmaschine nach einem vergleichbaren Material.</w:t>
      </w: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bookmarkStart w:id="0" w:name="_GoBack"/>
      <w:bookmarkEnd w:id="0"/>
      <w:r>
        <w:t>Vielen Dank für Ihr Verständnis.</w:t>
      </w:r>
    </w:p>
    <w:p w:rsidR="000E7EB4" w:rsidRPr="00EF1442" w:rsidRDefault="000E7EB4" w:rsidP="000E7EB4">
      <w:pPr>
        <w:pBdr>
          <w:top w:val="single" w:sz="4" w:space="1" w:color="auto"/>
          <w:left w:val="single" w:sz="4" w:space="4" w:color="auto"/>
          <w:bottom w:val="single" w:sz="4" w:space="1" w:color="auto"/>
          <w:right w:val="single" w:sz="4" w:space="4" w:color="auto"/>
        </w:pBdr>
        <w:shd w:val="clear" w:color="auto" w:fill="F2F2F2"/>
        <w:rPr>
          <w:b/>
        </w:rPr>
      </w:pPr>
      <w:r>
        <w:t>Material Nr.</w:t>
      </w:r>
      <w:r>
        <w:tab/>
      </w:r>
      <w:r>
        <w:tab/>
      </w:r>
      <w:r>
        <w:tab/>
        <w:t>M8</w:t>
      </w: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p>
    <w:p w:rsidR="000E7EB4" w:rsidRPr="000E7EB4" w:rsidRDefault="000E7EB4" w:rsidP="000E7EB4">
      <w:pPr>
        <w:pBdr>
          <w:top w:val="single" w:sz="4" w:space="1" w:color="auto"/>
          <w:left w:val="single" w:sz="4" w:space="4" w:color="auto"/>
          <w:bottom w:val="single" w:sz="4" w:space="1" w:color="auto"/>
          <w:right w:val="single" w:sz="4" w:space="4" w:color="auto"/>
        </w:pBdr>
        <w:shd w:val="clear" w:color="auto" w:fill="F2F2F2"/>
        <w:rPr>
          <w:b/>
        </w:rPr>
      </w:pPr>
      <w:r>
        <w:t>Titel des Materials:</w:t>
      </w:r>
      <w:r>
        <w:tab/>
      </w:r>
      <w:r>
        <w:tab/>
        <w:t>Folgen der Regenwaldvernichtung</w:t>
      </w: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r>
        <w:t xml:space="preserve">Art des Materials: </w:t>
      </w:r>
      <w:r>
        <w:tab/>
      </w:r>
      <w:r>
        <w:tab/>
      </w:r>
      <w:r>
        <w:t>Graphik</w:t>
      </w:r>
      <w:r>
        <w:t>en</w:t>
      </w:r>
    </w:p>
    <w:p w:rsidR="000E7EB4" w:rsidRPr="000E7EB4" w:rsidRDefault="000E7EB4" w:rsidP="000E7EB4">
      <w:pPr>
        <w:pBdr>
          <w:top w:val="single" w:sz="4" w:space="1" w:color="auto"/>
          <w:left w:val="single" w:sz="4" w:space="4" w:color="auto"/>
          <w:bottom w:val="single" w:sz="4" w:space="1" w:color="auto"/>
          <w:right w:val="single" w:sz="4" w:space="4" w:color="auto"/>
        </w:pBdr>
        <w:shd w:val="clear" w:color="auto" w:fill="F2F2F2"/>
        <w:rPr>
          <w:sz w:val="22"/>
        </w:rPr>
      </w:pPr>
      <w:r>
        <w:t xml:space="preserve">Inhalt des Materials: </w:t>
      </w:r>
      <w:r>
        <w:tab/>
        <w:t xml:space="preserve">z.B. </w:t>
      </w:r>
      <w:r>
        <w:tab/>
      </w:r>
      <w:r>
        <w:t>Vergleich des CO</w:t>
      </w:r>
      <w:r>
        <w:rPr>
          <w:sz w:val="22"/>
          <w:vertAlign w:val="subscript"/>
        </w:rPr>
        <w:t>2</w:t>
      </w:r>
      <w:r>
        <w:rPr>
          <w:sz w:val="22"/>
        </w:rPr>
        <w:t>- und Wärmehaushalts von Regenwald und Brachland</w:t>
      </w: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pPr>
    </w:p>
    <w:p w:rsidR="000E7EB4" w:rsidRDefault="000E7EB4" w:rsidP="000E7EB4">
      <w:pPr>
        <w:pBdr>
          <w:top w:val="single" w:sz="4" w:space="1" w:color="auto"/>
          <w:left w:val="single" w:sz="4" w:space="4" w:color="auto"/>
          <w:bottom w:val="single" w:sz="4" w:space="1" w:color="auto"/>
          <w:right w:val="single" w:sz="4" w:space="4" w:color="auto"/>
        </w:pBdr>
        <w:shd w:val="clear" w:color="auto" w:fill="F2F2F2" w:themeFill="background1" w:themeFillShade="F2"/>
      </w:pPr>
      <w:r>
        <w:t>Link zum Material:</w:t>
      </w:r>
      <w:r>
        <w:tab/>
      </w:r>
    </w:p>
    <w:p w:rsidR="000E7EB4" w:rsidRPr="000E7EB4" w:rsidRDefault="000E7EB4" w:rsidP="000E7EB4">
      <w:pPr>
        <w:pBdr>
          <w:top w:val="single" w:sz="4" w:space="1" w:color="auto"/>
          <w:left w:val="single" w:sz="4" w:space="4" w:color="auto"/>
          <w:bottom w:val="single" w:sz="4" w:space="1" w:color="auto"/>
          <w:right w:val="single" w:sz="4" w:space="4" w:color="auto"/>
        </w:pBdr>
        <w:shd w:val="clear" w:color="auto" w:fill="F2F2F2" w:themeFill="background1" w:themeFillShade="F2"/>
        <w:rPr>
          <w:sz w:val="22"/>
        </w:rPr>
      </w:pPr>
      <w:r w:rsidRPr="000E7EB4">
        <w:rPr>
          <w:sz w:val="22"/>
        </w:rPr>
        <w:t>http://www.dgvn.de/fileadmin/user_upload/klimawandel_bekaempfen/Interak_Grafiken_2012/wald/wald_vernichtung/bras05.html</w:t>
      </w:r>
    </w:p>
    <w:p w:rsidR="008A431C" w:rsidRPr="000E7EB4" w:rsidRDefault="000E7EB4" w:rsidP="000E7EB4">
      <w:pPr>
        <w:pBdr>
          <w:top w:val="single" w:sz="4" w:space="1" w:color="auto"/>
          <w:left w:val="single" w:sz="4" w:space="4" w:color="auto"/>
          <w:bottom w:val="single" w:sz="4" w:space="1" w:color="auto"/>
          <w:right w:val="single" w:sz="4" w:space="4" w:color="auto"/>
        </w:pBdr>
        <w:shd w:val="clear" w:color="auto" w:fill="F2F2F2" w:themeFill="background1" w:themeFillShade="F2"/>
        <w:rPr>
          <w:sz w:val="22"/>
        </w:rPr>
      </w:pPr>
      <w:r w:rsidRPr="000E7EB4">
        <w:rPr>
          <w:sz w:val="22"/>
        </w:rPr>
        <w:t>http://www.dgvn.de/fileadmin/user_upload/klimawandel_bekaempfen/Interak_Grafiken_2012/wald/wald_vernichtung/bras06.html</w:t>
      </w:r>
    </w:p>
    <w:sectPr w:rsidR="008A431C" w:rsidRPr="000E7EB4" w:rsidSect="003C32F5">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D41" w:rsidRDefault="006F5D41" w:rsidP="003F5D52">
      <w:pPr>
        <w:spacing w:line="240" w:lineRule="auto"/>
      </w:pPr>
      <w:r>
        <w:separator/>
      </w:r>
    </w:p>
  </w:endnote>
  <w:endnote w:type="continuationSeparator" w:id="0">
    <w:p w:rsidR="006F5D41" w:rsidRDefault="006F5D41" w:rsidP="003F5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D41" w:rsidRDefault="006F5D41" w:rsidP="003F5D52">
      <w:pPr>
        <w:spacing w:line="240" w:lineRule="auto"/>
      </w:pPr>
      <w:r>
        <w:separator/>
      </w:r>
    </w:p>
  </w:footnote>
  <w:footnote w:type="continuationSeparator" w:id="0">
    <w:p w:rsidR="006F5D41" w:rsidRDefault="006F5D41" w:rsidP="003F5D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D52" w:rsidRDefault="003F5D52" w:rsidP="003F5D52">
    <w:pPr>
      <w:pStyle w:val="Kopfzeile"/>
      <w:jc w:val="center"/>
    </w:pPr>
    <w:r>
      <w:t>Brasilien – Wirtschaftliche Bedeutung von Kaffee und Bauxit / Aluminium, Erwin Kräutler, Vernichtung des Regenwaldes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50A"/>
    <w:rsid w:val="00011C0D"/>
    <w:rsid w:val="0006584E"/>
    <w:rsid w:val="000E7EB4"/>
    <w:rsid w:val="001B0B96"/>
    <w:rsid w:val="00214C65"/>
    <w:rsid w:val="00282AF8"/>
    <w:rsid w:val="00292C9A"/>
    <w:rsid w:val="00294741"/>
    <w:rsid w:val="003A650A"/>
    <w:rsid w:val="003B7090"/>
    <w:rsid w:val="003C32F5"/>
    <w:rsid w:val="003F5D52"/>
    <w:rsid w:val="00480DE6"/>
    <w:rsid w:val="00515233"/>
    <w:rsid w:val="005C7AAC"/>
    <w:rsid w:val="0065246B"/>
    <w:rsid w:val="006F5D41"/>
    <w:rsid w:val="00757A0F"/>
    <w:rsid w:val="007A015B"/>
    <w:rsid w:val="008A431C"/>
    <w:rsid w:val="00A016C4"/>
    <w:rsid w:val="00B03908"/>
    <w:rsid w:val="00B514F7"/>
    <w:rsid w:val="00B558B3"/>
    <w:rsid w:val="00C22C18"/>
    <w:rsid w:val="00C22D5C"/>
    <w:rsid w:val="00C4182E"/>
    <w:rsid w:val="00D220DC"/>
    <w:rsid w:val="00D50864"/>
    <w:rsid w:val="00E43FA3"/>
    <w:rsid w:val="00F42AF4"/>
    <w:rsid w:val="00F471CB"/>
    <w:rsid w:val="00FD220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DE101-CCE7-4D27-94FA-D2BABB020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A650A"/>
    <w:pPr>
      <w:spacing w:after="0"/>
      <w:jc w:val="both"/>
    </w:pPr>
    <w:rPr>
      <w:rFonts w:ascii="Times New Roman" w:hAnsi="Times New Roman"/>
      <w:sz w:val="24"/>
    </w:rPr>
  </w:style>
  <w:style w:type="paragraph" w:styleId="berschrift2">
    <w:name w:val="heading 2"/>
    <w:basedOn w:val="Standard"/>
    <w:link w:val="berschrift2Zchn"/>
    <w:uiPriority w:val="9"/>
    <w:qFormat/>
    <w:rsid w:val="00F471CB"/>
    <w:pPr>
      <w:spacing w:before="100" w:beforeAutospacing="1" w:after="100" w:afterAutospacing="1" w:line="240" w:lineRule="auto"/>
      <w:jc w:val="left"/>
      <w:outlineLvl w:val="1"/>
    </w:pPr>
    <w:rPr>
      <w:rFonts w:eastAsia="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A650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650A"/>
    <w:rPr>
      <w:rFonts w:ascii="Tahoma" w:hAnsi="Tahoma" w:cs="Tahoma"/>
      <w:sz w:val="16"/>
      <w:szCs w:val="16"/>
    </w:rPr>
  </w:style>
  <w:style w:type="character" w:styleId="Hyperlink">
    <w:name w:val="Hyperlink"/>
    <w:basedOn w:val="Absatz-Standardschriftart"/>
    <w:uiPriority w:val="99"/>
    <w:unhideWhenUsed/>
    <w:rsid w:val="003A650A"/>
    <w:rPr>
      <w:color w:val="0000FF" w:themeColor="hyperlink"/>
      <w:u w:val="single"/>
    </w:rPr>
  </w:style>
  <w:style w:type="character" w:styleId="BesuchterHyperlink">
    <w:name w:val="FollowedHyperlink"/>
    <w:basedOn w:val="Absatz-Standardschriftart"/>
    <w:uiPriority w:val="99"/>
    <w:semiHidden/>
    <w:unhideWhenUsed/>
    <w:rsid w:val="008A431C"/>
    <w:rPr>
      <w:color w:val="800080" w:themeColor="followedHyperlink"/>
      <w:u w:val="single"/>
    </w:rPr>
  </w:style>
  <w:style w:type="paragraph" w:styleId="StandardWeb">
    <w:name w:val="Normal (Web)"/>
    <w:basedOn w:val="Standard"/>
    <w:uiPriority w:val="99"/>
    <w:semiHidden/>
    <w:unhideWhenUsed/>
    <w:rsid w:val="008A431C"/>
    <w:pPr>
      <w:spacing w:before="100" w:beforeAutospacing="1" w:after="100" w:afterAutospacing="1" w:line="240" w:lineRule="auto"/>
      <w:jc w:val="left"/>
    </w:pPr>
    <w:rPr>
      <w:rFonts w:eastAsia="Times New Roman" w:cs="Times New Roman"/>
      <w:szCs w:val="24"/>
      <w:lang w:eastAsia="de-DE"/>
    </w:rPr>
  </w:style>
  <w:style w:type="character" w:customStyle="1" w:styleId="nowrap">
    <w:name w:val="nowrap"/>
    <w:basedOn w:val="Absatz-Standardschriftart"/>
    <w:rsid w:val="008A431C"/>
  </w:style>
  <w:style w:type="character" w:customStyle="1" w:styleId="berschrift2Zchn">
    <w:name w:val="Überschrift 2 Zchn"/>
    <w:basedOn w:val="Absatz-Standardschriftart"/>
    <w:link w:val="berschrift2"/>
    <w:uiPriority w:val="9"/>
    <w:rsid w:val="00F471CB"/>
    <w:rPr>
      <w:rFonts w:ascii="Times New Roman" w:eastAsia="Times New Roman" w:hAnsi="Times New Roman" w:cs="Times New Roman"/>
      <w:b/>
      <w:bCs/>
      <w:sz w:val="36"/>
      <w:szCs w:val="36"/>
      <w:lang w:eastAsia="de-DE"/>
    </w:rPr>
  </w:style>
  <w:style w:type="paragraph" w:styleId="Kopfzeile">
    <w:name w:val="header"/>
    <w:basedOn w:val="Standard"/>
    <w:link w:val="KopfzeileZchn"/>
    <w:uiPriority w:val="99"/>
    <w:semiHidden/>
    <w:unhideWhenUsed/>
    <w:rsid w:val="003F5D52"/>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3F5D52"/>
    <w:rPr>
      <w:rFonts w:ascii="Times New Roman" w:hAnsi="Times New Roman"/>
      <w:sz w:val="24"/>
    </w:rPr>
  </w:style>
  <w:style w:type="paragraph" w:styleId="Fuzeile">
    <w:name w:val="footer"/>
    <w:basedOn w:val="Standard"/>
    <w:link w:val="FuzeileZchn"/>
    <w:uiPriority w:val="99"/>
    <w:semiHidden/>
    <w:unhideWhenUsed/>
    <w:rsid w:val="003F5D52"/>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3F5D5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001812">
      <w:bodyDiv w:val="1"/>
      <w:marLeft w:val="0"/>
      <w:marRight w:val="0"/>
      <w:marTop w:val="0"/>
      <w:marBottom w:val="0"/>
      <w:divBdr>
        <w:top w:val="none" w:sz="0" w:space="0" w:color="auto"/>
        <w:left w:val="none" w:sz="0" w:space="0" w:color="auto"/>
        <w:bottom w:val="none" w:sz="0" w:space="0" w:color="auto"/>
        <w:right w:val="none" w:sz="0" w:space="0" w:color="auto"/>
      </w:divBdr>
    </w:div>
    <w:div w:id="14565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DE" sz="1400"/>
              <a:t>Bruttowertschöpfung</a:t>
            </a:r>
            <a:r>
              <a:rPr lang="de-DE" sz="1400" baseline="0"/>
              <a:t> nach Sektoren</a:t>
            </a:r>
          </a:p>
          <a:p>
            <a:pPr>
              <a:defRPr/>
            </a:pPr>
            <a:r>
              <a:rPr lang="de-DE" sz="1400" baseline="0"/>
              <a:t>in % des BIP (2013)</a:t>
            </a:r>
            <a:endParaRPr lang="de-DE" sz="1400"/>
          </a:p>
        </c:rich>
      </c:tx>
      <c:overlay val="0"/>
    </c:title>
    <c:autoTitleDeleted val="0"/>
    <c:plotArea>
      <c:layout/>
      <c:pieChart>
        <c:varyColors val="1"/>
        <c:ser>
          <c:idx val="0"/>
          <c:order val="0"/>
          <c:dPt>
            <c:idx val="0"/>
            <c:bubble3D val="0"/>
            <c:spPr>
              <a:noFill/>
              <a:ln w="6350" cmpd="sng">
                <a:solidFill>
                  <a:sysClr val="windowText" lastClr="000000"/>
                </a:solidFill>
              </a:ln>
            </c:spPr>
          </c:dPt>
          <c:dPt>
            <c:idx val="1"/>
            <c:bubble3D val="0"/>
            <c:spPr>
              <a:solidFill>
                <a:schemeClr val="tx1"/>
              </a:solidFill>
            </c:spPr>
          </c:dPt>
          <c:dPt>
            <c:idx val="2"/>
            <c:bubble3D val="0"/>
            <c:spPr>
              <a:solidFill>
                <a:srgbClr val="FF0000"/>
              </a:solidFill>
            </c:spPr>
          </c:dPt>
          <c:dLbls>
            <c:dLbl>
              <c:idx val="0"/>
              <c:layout>
                <c:manualLayout>
                  <c:x val="-1.8513998250218724E-2"/>
                  <c:y val="9.6443058254081879E-2"/>
                </c:manualLayout>
              </c:layout>
              <c:tx>
                <c:rich>
                  <a:bodyPr/>
                  <a:lstStyle/>
                  <a:p>
                    <a:pPr>
                      <a:defRPr b="1">
                        <a:solidFill>
                          <a:sysClr val="windowText" lastClr="000000"/>
                        </a:solidFill>
                      </a:defRPr>
                    </a:pPr>
                    <a:r>
                      <a:rPr lang="en-US" b="1"/>
                      <a:t>5</a:t>
                    </a:r>
                    <a:r>
                      <a:rPr lang="en-US"/>
                      <a:t>,5</a:t>
                    </a:r>
                    <a:r>
                      <a:rPr lang="en-US" baseline="0"/>
                      <a:t> </a:t>
                    </a:r>
                    <a:r>
                      <a:rPr lang="en-US"/>
                      <a:t>%</a:t>
                    </a:r>
                  </a:p>
                </c:rich>
              </c:tx>
              <c:spPr/>
              <c:showLegendKey val="0"/>
              <c:showVal val="0"/>
              <c:showCatName val="0"/>
              <c:showSerName val="0"/>
              <c:showPercent val="1"/>
              <c:showBubbleSize val="0"/>
              <c:extLst>
                <c:ext xmlns:c15="http://schemas.microsoft.com/office/drawing/2012/chart" uri="{CE6537A1-D6FC-4f65-9D91-7224C49458BB}"/>
              </c:extLst>
            </c:dLbl>
            <c:dLbl>
              <c:idx val="1"/>
              <c:layout>
                <c:manualLayout>
                  <c:x val="-0.12411920384951892"/>
                  <c:y val="5.969287929917852E-2"/>
                </c:manualLayout>
              </c:layout>
              <c:tx>
                <c:rich>
                  <a:bodyPr/>
                  <a:lstStyle/>
                  <a:p>
                    <a:r>
                      <a:rPr lang="en-US" b="1"/>
                      <a:t>2</a:t>
                    </a:r>
                    <a:r>
                      <a:rPr lang="en-US"/>
                      <a:t>6,4 %</a:t>
                    </a:r>
                  </a:p>
                </c:rich>
              </c:tx>
              <c:showLegendKey val="0"/>
              <c:showVal val="0"/>
              <c:showCatName val="0"/>
              <c:showSerName val="0"/>
              <c:showPercent val="1"/>
              <c:showBubbleSize val="0"/>
              <c:extLst>
                <c:ext xmlns:c15="http://schemas.microsoft.com/office/drawing/2012/chart" uri="{CE6537A1-D6FC-4f65-9D91-7224C49458BB}"/>
              </c:extLst>
            </c:dLbl>
            <c:dLbl>
              <c:idx val="2"/>
              <c:layout>
                <c:manualLayout>
                  <c:x val="0.11242322834645679"/>
                  <c:y val="-0.13866755291952138"/>
                </c:manualLayout>
              </c:layout>
              <c:tx>
                <c:rich>
                  <a:bodyPr/>
                  <a:lstStyle/>
                  <a:p>
                    <a:pPr>
                      <a:defRPr b="1">
                        <a:solidFill>
                          <a:sysClr val="windowText" lastClr="000000"/>
                        </a:solidFill>
                      </a:defRPr>
                    </a:pPr>
                    <a:r>
                      <a:rPr lang="en-US" b="1"/>
                      <a:t>6</a:t>
                    </a:r>
                    <a:r>
                      <a:rPr lang="en-US"/>
                      <a:t>8,1 %</a:t>
                    </a:r>
                  </a:p>
                </c:rich>
              </c:tx>
              <c:spPr/>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de-DE"/>
              </a:p>
            </c:txPr>
            <c:showLegendKey val="0"/>
            <c:showVal val="0"/>
            <c:showCatName val="0"/>
            <c:showSerName val="0"/>
            <c:showPercent val="1"/>
            <c:showBubbleSize val="0"/>
            <c:showLeaderLines val="1"/>
            <c:extLst>
              <c:ext xmlns:c15="http://schemas.microsoft.com/office/drawing/2012/chart" uri="{CE6537A1-D6FC-4f65-9D91-7224C49458BB}"/>
            </c:extLst>
          </c:dLbls>
          <c:cat>
            <c:strRef>
              <c:f>Tabelle1!$C$6:$C$8</c:f>
              <c:strCache>
                <c:ptCount val="3"/>
                <c:pt idx="0">
                  <c:v>Land- und Forstwirtschaft, Fischerei</c:v>
                </c:pt>
                <c:pt idx="1">
                  <c:v>Produzierendes Gewerbe</c:v>
                </c:pt>
                <c:pt idx="2">
                  <c:v>Dienstleistungen</c:v>
                </c:pt>
              </c:strCache>
            </c:strRef>
          </c:cat>
          <c:val>
            <c:numRef>
              <c:f>Tabelle1!$D$6:$D$8</c:f>
              <c:numCache>
                <c:formatCode>0.00</c:formatCode>
                <c:ptCount val="3"/>
                <c:pt idx="0">
                  <c:v>5.5</c:v>
                </c:pt>
                <c:pt idx="1">
                  <c:v>26.4</c:v>
                </c:pt>
                <c:pt idx="2">
                  <c:v>68.099999999999994</c:v>
                </c:pt>
              </c:numCache>
            </c:numRef>
          </c:val>
        </c:ser>
        <c:dLbls>
          <c:showLegendKey val="0"/>
          <c:showVal val="0"/>
          <c:showCatName val="0"/>
          <c:showSerName val="0"/>
          <c:showPercent val="1"/>
          <c:showBubbleSize val="0"/>
          <c:showLeaderLines val="1"/>
        </c:dLbls>
        <c:firstSliceAng val="0"/>
      </c:pieChart>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DE" sz="1400"/>
              <a:t>Erwerbstätige nach Sektoren </a:t>
            </a:r>
          </a:p>
          <a:p>
            <a:pPr>
              <a:defRPr/>
            </a:pPr>
            <a:r>
              <a:rPr lang="de-DE" sz="1400"/>
              <a:t>in % (2011)</a:t>
            </a:r>
          </a:p>
        </c:rich>
      </c:tx>
      <c:layout>
        <c:manualLayout>
          <c:xMode val="edge"/>
          <c:yMode val="edge"/>
          <c:x val="0.21981752280964881"/>
          <c:y val="2.8368794326241127E-2"/>
        </c:manualLayout>
      </c:layout>
      <c:overlay val="0"/>
    </c:title>
    <c:autoTitleDeleted val="0"/>
    <c:plotArea>
      <c:layout/>
      <c:pieChart>
        <c:varyColors val="1"/>
        <c:ser>
          <c:idx val="0"/>
          <c:order val="0"/>
          <c:dPt>
            <c:idx val="0"/>
            <c:bubble3D val="0"/>
            <c:spPr>
              <a:noFill/>
              <a:ln>
                <a:solidFill>
                  <a:sysClr val="windowText" lastClr="000000"/>
                </a:solidFill>
              </a:ln>
            </c:spPr>
          </c:dPt>
          <c:dPt>
            <c:idx val="1"/>
            <c:bubble3D val="0"/>
            <c:spPr>
              <a:solidFill>
                <a:schemeClr val="tx1"/>
              </a:solidFill>
            </c:spPr>
          </c:dPt>
          <c:dPt>
            <c:idx val="2"/>
            <c:bubble3D val="0"/>
            <c:spPr>
              <a:solidFill>
                <a:srgbClr val="FF0000"/>
              </a:solidFill>
            </c:spPr>
          </c:dPt>
          <c:dLbls>
            <c:dLbl>
              <c:idx val="0"/>
              <c:tx>
                <c:rich>
                  <a:bodyPr/>
                  <a:lstStyle/>
                  <a:p>
                    <a:r>
                      <a:rPr lang="en-US" b="1"/>
                      <a:t>1</a:t>
                    </a:r>
                    <a:r>
                      <a:rPr lang="en-US"/>
                      <a:t>5,7 %</a:t>
                    </a:r>
                  </a:p>
                </c:rich>
              </c:tx>
              <c:showLegendKey val="0"/>
              <c:showVal val="0"/>
              <c:showCatName val="0"/>
              <c:showSerName val="0"/>
              <c:showPercent val="1"/>
              <c:showBubbleSize val="0"/>
              <c:extLst>
                <c:ext xmlns:c15="http://schemas.microsoft.com/office/drawing/2012/chart" uri="{CE6537A1-D6FC-4f65-9D91-7224C49458BB}"/>
              </c:extLst>
            </c:dLbl>
            <c:dLbl>
              <c:idx val="1"/>
              <c:tx>
                <c:rich>
                  <a:bodyPr/>
                  <a:lstStyle/>
                  <a:p>
                    <a:pPr>
                      <a:defRPr b="1">
                        <a:solidFill>
                          <a:schemeClr val="bg1"/>
                        </a:solidFill>
                      </a:defRPr>
                    </a:pPr>
                    <a:r>
                      <a:rPr lang="en-US" b="1"/>
                      <a:t>1</a:t>
                    </a:r>
                    <a:r>
                      <a:rPr lang="en-US"/>
                      <a:t>3,3 %</a:t>
                    </a:r>
                  </a:p>
                </c:rich>
              </c:tx>
              <c:spPr/>
              <c:showLegendKey val="0"/>
              <c:showVal val="0"/>
              <c:showCatName val="0"/>
              <c:showSerName val="0"/>
              <c:showPercent val="1"/>
              <c:showBubbleSize val="0"/>
              <c:extLst>
                <c:ext xmlns:c15="http://schemas.microsoft.com/office/drawing/2012/chart" uri="{CE6537A1-D6FC-4f65-9D91-7224C49458BB}"/>
              </c:extLst>
            </c:dLbl>
            <c:dLbl>
              <c:idx val="2"/>
              <c:layout>
                <c:manualLayout>
                  <c:x val="0.10091776027996498"/>
                  <c:y val="-0.16837379702537184"/>
                </c:manualLayout>
              </c:layout>
              <c:tx>
                <c:rich>
                  <a:bodyPr/>
                  <a:lstStyle/>
                  <a:p>
                    <a:r>
                      <a:rPr lang="en-US"/>
                      <a:t>71 %</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de-DE"/>
              </a:p>
            </c:txPr>
            <c:showLegendKey val="0"/>
            <c:showVal val="0"/>
            <c:showCatName val="0"/>
            <c:showSerName val="0"/>
            <c:showPercent val="1"/>
            <c:showBubbleSize val="0"/>
            <c:showLeaderLines val="1"/>
            <c:extLst>
              <c:ext xmlns:c15="http://schemas.microsoft.com/office/drawing/2012/chart" uri="{CE6537A1-D6FC-4f65-9D91-7224C49458BB}"/>
            </c:extLst>
          </c:dLbls>
          <c:cat>
            <c:strRef>
              <c:f>Tabelle1!$C$27:$C$29</c:f>
              <c:strCache>
                <c:ptCount val="3"/>
                <c:pt idx="0">
                  <c:v>Land- und Forstwirtschaft, Fischerei</c:v>
                </c:pt>
                <c:pt idx="1">
                  <c:v>Produzierendes Gewerbe</c:v>
                </c:pt>
                <c:pt idx="2">
                  <c:v>Dienstleistungen</c:v>
                </c:pt>
              </c:strCache>
            </c:strRef>
          </c:cat>
          <c:val>
            <c:numRef>
              <c:f>Tabelle1!$D$27:$D$29</c:f>
              <c:numCache>
                <c:formatCode>0.00</c:formatCode>
                <c:ptCount val="3"/>
                <c:pt idx="0">
                  <c:v>15.7</c:v>
                </c:pt>
                <c:pt idx="1">
                  <c:v>13.3</c:v>
                </c:pt>
                <c:pt idx="2">
                  <c:v>71</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Syring</cp:lastModifiedBy>
  <cp:revision>3</cp:revision>
  <dcterms:created xsi:type="dcterms:W3CDTF">2015-06-17T06:07:00Z</dcterms:created>
  <dcterms:modified xsi:type="dcterms:W3CDTF">2015-06-17T10:07:00Z</dcterms:modified>
</cp:coreProperties>
</file>